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240" w:before="240" w:lineRule="auto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Empleo en logística y transporte se mantuvo estable en julio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Según datos consolidados por el Ministerio de Inclusión, Seguridad Social y Migraciones, durante el mes de julio de 2022 en España, el número de trabajadores en transporte y logística afiliados a la seguridad social registraron cifras similares a los meses anteriores.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Si bien el número se mantiene, su tendencia al alza se observa algo comprometida si se compara con meses pasados.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Y según los analistas del mercado de trabajo, esto se debe al aumento de precios que está afectando de manera directa al crecimiento del empleo del sector.</w:t>
      </w:r>
    </w:p>
    <w:p w:rsidR="00000000" w:rsidDel="00000000" w:rsidP="00000000" w:rsidRDefault="00000000" w:rsidRPr="00000000" w14:paraId="00000005">
      <w:pPr>
        <w:pStyle w:val="Heading2"/>
        <w:spacing w:after="240" w:before="240" w:lineRule="auto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  <w:t xml:space="preserve">Las cifras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El mes de julio de 2022 dejó al sector logístico con 1,06 millones de personas afiliadas a la seguridad social. De hecho, registró la misma cifra de junio y fue algo superior a la que se alcanzó en mayo de este año.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 cuanto a la comparación interanual, se registraron cantidades similares al sumar el régimen general, el régimen de autónomos y el régimen del mar.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pesar del panorama que se observa en el mundo, los segmentos de actividad en transporte y logística dejaron variaciones positivas.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 todos hubo este comportamiento, excepto las actividades postales y de correos donde se perdió un 2,76% de afiliaciones al sistema de seguridad social con respecto a junio de este mismo año.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 el transporte marítimo aumentó el porcentaje con un 12,4% más intermensual.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Por su parte, el transporte aéreo y el almacenamiento continúan al alza por encima del 1% de crecimiento.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 cuanto al transporte terrestre y por tubería, alcanzó los 624.061 trabajadores afiliados, cifra similar a la de junio de 2022.</w:t>
      </w:r>
    </w:p>
    <w:p w:rsidR="00000000" w:rsidDel="00000000" w:rsidP="00000000" w:rsidRDefault="00000000" w:rsidRPr="00000000" w14:paraId="0000000D">
      <w:pPr>
        <w:pStyle w:val="Heading2"/>
        <w:spacing w:after="240" w:before="240" w:lineRule="auto"/>
        <w:rPr/>
      </w:pPr>
      <w:bookmarkStart w:colFirst="0" w:colLast="0" w:name="_1fob9te" w:id="2"/>
      <w:bookmarkEnd w:id="2"/>
      <w:r w:rsidDel="00000000" w:rsidR="00000000" w:rsidRPr="00000000">
        <w:rPr>
          <w:rtl w:val="0"/>
        </w:rPr>
        <w:t xml:space="preserve">El comportamiento del mercado laboral en logística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 general y según el investigador Diego Barceló de Adecco Group Institute, el empleo del sector del transporte y almacenamiento ha mantenido un comportamiento estable ya por cuatro meses consecutivos.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Por su parte, el presidente de la Organización Empresarial de Logística y Transporte, UNO, Francisco Aranda, indica que el comportamiento del mercado laboral durante el mes de julio de 2022 confirmó la ralentización de la creación de empleo. Incluso en sectores de gran actividad y expansión como el logístico.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Según Aranda, este comportamiento se debe a la inflación y al incremento de los costes energéticos que debe enfrentar la actividad empresarial. Bajo este contexto, el empleo es el que sufre la consecuencia inmediata y por ello, se requieren estímulos contundentes para impulsar la economía.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Por otro lado, los ERTE, Expedientes de Regulación de Empleo Temporal, comienzan a ser residuales en casi todos los segmentos de actividad. Por ejemplo, en julio se realizaron 2.671 expedientes temporales, frente a los 18.905 de julio de 2021 (85,8% menos en la comparación interanual).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 total, 233 personas se acogieron a un ERTE de fuerza mayor y 2.438 lo hicieron por causas económicas, técnicas, operativas o de producción, ETOP (Suspensión temporal del contrato o reducción de jornada). Esta modalidad de ERTE volvió a funcionar al finalizar  la prórroga de los expedientes temporales por Covid.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 total y por géneros, unos mil (el 37,5%) corresponden a hombres acogidos a los ERTE y 1.669 a mujeres (62,5%).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